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247" w:rsidRPr="00300247" w:rsidRDefault="000C10B2" w:rsidP="003002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0F88">
        <w:rPr>
          <w:rFonts w:ascii="Times New Roman" w:hAnsi="Times New Roman"/>
          <w:b/>
          <w:bCs/>
          <w:sz w:val="28"/>
          <w:szCs w:val="28"/>
        </w:rPr>
        <w:t xml:space="preserve"> Республики Мордовия </w:t>
      </w:r>
      <w:proofErr w:type="spellStart"/>
      <w:r w:rsidR="00FC0F88">
        <w:rPr>
          <w:rFonts w:ascii="Times New Roman" w:hAnsi="Times New Roman"/>
          <w:b/>
          <w:bCs/>
          <w:sz w:val="28"/>
          <w:szCs w:val="28"/>
        </w:rPr>
        <w:t>Латышовскому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00247" w:rsidRPr="00300247">
        <w:rPr>
          <w:rFonts w:ascii="Times New Roman" w:hAnsi="Times New Roman"/>
          <w:b/>
          <w:sz w:val="28"/>
          <w:szCs w:val="28"/>
        </w:rPr>
        <w:t xml:space="preserve"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 </w:t>
      </w:r>
    </w:p>
    <w:p w:rsidR="00C40A5E" w:rsidRDefault="000C10B2" w:rsidP="003002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364288">
        <w:rPr>
          <w:rFonts w:ascii="Times New Roman" w:hAnsi="Times New Roman"/>
          <w:sz w:val="28"/>
          <w:szCs w:val="28"/>
        </w:rPr>
        <w:t xml:space="preserve">                  </w:t>
      </w:r>
      <w:r w:rsidR="00424A81">
        <w:rPr>
          <w:rFonts w:ascii="Times New Roman" w:hAnsi="Times New Roman"/>
          <w:sz w:val="28"/>
          <w:szCs w:val="28"/>
        </w:rPr>
        <w:t>«</w:t>
      </w:r>
      <w:r w:rsidR="000848A2">
        <w:rPr>
          <w:rFonts w:ascii="Times New Roman" w:hAnsi="Times New Roman"/>
          <w:sz w:val="28"/>
          <w:szCs w:val="28"/>
        </w:rPr>
        <w:t>___» февраля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Кадошкинский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184510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184510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84510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48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48A2">
        <w:rPr>
          <w:rFonts w:ascii="Times New Roman" w:hAnsi="Times New Roman"/>
          <w:sz w:val="28"/>
          <w:szCs w:val="28"/>
        </w:rPr>
        <w:t>Чаткина</w:t>
      </w:r>
      <w:proofErr w:type="spellEnd"/>
      <w:r w:rsidR="000848A2">
        <w:rPr>
          <w:rFonts w:ascii="Times New Roman" w:hAnsi="Times New Roman"/>
          <w:sz w:val="28"/>
          <w:szCs w:val="28"/>
        </w:rPr>
        <w:t xml:space="preserve"> Андрея Викторовича, действующего</w:t>
      </w:r>
      <w:r w:rsidR="00184510">
        <w:rPr>
          <w:rFonts w:ascii="Times New Roman" w:hAnsi="Times New Roman"/>
          <w:sz w:val="28"/>
          <w:szCs w:val="28"/>
        </w:rPr>
        <w:t xml:space="preserve"> на основании</w:t>
      </w:r>
      <w:r w:rsidR="000848A2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8B6CCD"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8B6CCD">
        <w:rPr>
          <w:rFonts w:ascii="Times New Roman" w:hAnsi="Times New Roman"/>
          <w:sz w:val="28"/>
          <w:szCs w:val="28"/>
        </w:rPr>
        <w:t>Латышовское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FC0F88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FC0F88">
        <w:rPr>
          <w:rFonts w:ascii="Times New Roman" w:hAnsi="Times New Roman"/>
          <w:sz w:val="28"/>
          <w:szCs w:val="28"/>
        </w:rPr>
        <w:t>Латышовского</w:t>
      </w:r>
      <w:proofErr w:type="spellEnd"/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C0F88">
        <w:rPr>
          <w:rFonts w:ascii="Times New Roman" w:hAnsi="Times New Roman"/>
          <w:sz w:val="28"/>
          <w:szCs w:val="28"/>
        </w:rPr>
        <w:t>Арюковой</w:t>
      </w:r>
      <w:proofErr w:type="spellEnd"/>
      <w:r w:rsidR="00FC0F88">
        <w:rPr>
          <w:rFonts w:ascii="Times New Roman" w:hAnsi="Times New Roman"/>
          <w:sz w:val="28"/>
          <w:szCs w:val="28"/>
        </w:rPr>
        <w:t xml:space="preserve"> Риммы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243">
        <w:rPr>
          <w:rFonts w:ascii="Times New Roman" w:hAnsi="Times New Roman"/>
          <w:sz w:val="28"/>
          <w:szCs w:val="28"/>
        </w:rPr>
        <w:t>Аминовны</w:t>
      </w:r>
      <w:proofErr w:type="spellEnd"/>
      <w:r w:rsidRPr="00F526B5">
        <w:rPr>
          <w:rFonts w:ascii="Times New Roman" w:hAnsi="Times New Roman"/>
          <w:sz w:val="28"/>
          <w:szCs w:val="28"/>
        </w:rPr>
        <w:t>,</w:t>
      </w:r>
      <w:r w:rsidR="00857243">
        <w:rPr>
          <w:rFonts w:ascii="Times New Roman" w:hAnsi="Times New Roman"/>
          <w:sz w:val="28"/>
          <w:szCs w:val="28"/>
        </w:rPr>
        <w:t xml:space="preserve"> 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Устава, 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5885">
        <w:rPr>
          <w:rFonts w:ascii="Times New Roman" w:hAnsi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Pr="00300247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="00300247" w:rsidRPr="00300247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300247">
        <w:rPr>
          <w:rFonts w:ascii="Times New Roman" w:hAnsi="Times New Roman"/>
          <w:sz w:val="28"/>
          <w:szCs w:val="28"/>
        </w:rPr>
        <w:t>.</w:t>
      </w:r>
    </w:p>
    <w:p w:rsidR="008528B5" w:rsidRDefault="008528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8A7886" w:rsidRPr="00CB3D8B" w:rsidRDefault="008A7886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4B6F22" w:rsidRPr="000848A2" w:rsidRDefault="003E4B90" w:rsidP="000848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CB3D8B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10.1. Настоящее Соглашение</w:t>
      </w:r>
      <w:r w:rsidR="00676A23">
        <w:rPr>
          <w:rFonts w:ascii="Times New Roman" w:hAnsi="Times New Roman"/>
          <w:sz w:val="28"/>
          <w:szCs w:val="28"/>
        </w:rPr>
        <w:t xml:space="preserve"> вступает в силу со дня подписания и</w:t>
      </w:r>
      <w:r w:rsidRPr="003E4B90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sz w:val="28"/>
          <w:szCs w:val="28"/>
        </w:rPr>
        <w:t>распространяет свое действие на правоотношения, возник</w:t>
      </w:r>
      <w:r w:rsidR="000848A2">
        <w:rPr>
          <w:rFonts w:ascii="Times New Roman" w:hAnsi="Times New Roman"/>
          <w:sz w:val="28"/>
          <w:szCs w:val="28"/>
        </w:rPr>
        <w:t>шие с 01 января 2024</w:t>
      </w:r>
      <w:r w:rsidR="00CB3D8B"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CB3D8B" w:rsidP="00364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 </w:t>
      </w:r>
      <w:r w:rsidR="008528B5"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Pr="00FE5B8A" w:rsidRDefault="00CB3D8B" w:rsidP="00A369D8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0848A2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B6F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28B5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</w:t>
      </w:r>
      <w:r w:rsidR="004B6F22">
        <w:rPr>
          <w:rFonts w:ascii="Times New Roman" w:hAnsi="Times New Roman"/>
          <w:sz w:val="28"/>
          <w:szCs w:val="28"/>
        </w:rPr>
        <w:t xml:space="preserve">   </w:t>
      </w:r>
      <w:r w:rsidR="0085724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57243">
        <w:rPr>
          <w:rFonts w:ascii="Times New Roman" w:hAnsi="Times New Roman"/>
          <w:sz w:val="28"/>
          <w:szCs w:val="28"/>
        </w:rPr>
        <w:t>Латышовского</w:t>
      </w:r>
      <w:proofErr w:type="spellEnd"/>
      <w:r w:rsidR="008528B5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848A2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0848A2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 xml:space="preserve">   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243">
        <w:rPr>
          <w:rFonts w:ascii="Times New Roman" w:hAnsi="Times New Roman"/>
          <w:sz w:val="28"/>
          <w:szCs w:val="28"/>
        </w:rPr>
        <w:t>____________Р.А.Арюкова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м.п.                                                                                                   </w:t>
      </w:r>
      <w:r w:rsidR="004B6F22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 xml:space="preserve">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369D8" w:rsidRDefault="00A369D8" w:rsidP="004B6F22">
      <w:pPr>
        <w:spacing w:after="0" w:line="240" w:lineRule="auto"/>
        <w:contextualSpacing/>
        <w:rPr>
          <w:rFonts w:ascii="Times New Roman" w:hAnsi="Times New Roman"/>
        </w:rPr>
      </w:pPr>
    </w:p>
    <w:p w:rsidR="004B6F22" w:rsidRDefault="004B6F22" w:rsidP="004B6F22">
      <w:pPr>
        <w:spacing w:after="0" w:line="240" w:lineRule="auto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0848A2" w:rsidRDefault="000848A2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 xml:space="preserve">части полномочий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муниципального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857243">
        <w:rPr>
          <w:rFonts w:ascii="Times New Roman" w:hAnsi="Times New Roman"/>
          <w:bCs/>
        </w:rPr>
        <w:t xml:space="preserve"> Республики Мордовия </w:t>
      </w:r>
      <w:proofErr w:type="spellStart"/>
      <w:r w:rsidR="00857243">
        <w:rPr>
          <w:rFonts w:ascii="Times New Roman" w:hAnsi="Times New Roman"/>
          <w:bCs/>
        </w:rPr>
        <w:t>Латышовскому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сельскому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Pr="00F526B5">
        <w:rPr>
          <w:rFonts w:ascii="Times New Roman" w:hAnsi="Times New Roman"/>
          <w:bCs/>
        </w:rPr>
        <w:t xml:space="preserve"> муниципального района </w:t>
      </w:r>
    </w:p>
    <w:p w:rsid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300247">
        <w:rPr>
          <w:rFonts w:ascii="Times New Roman" w:hAnsi="Times New Roman"/>
          <w:sz w:val="24"/>
          <w:szCs w:val="24"/>
        </w:rPr>
        <w:t xml:space="preserve">по оформлению права муниципальной собственности </w:t>
      </w:r>
      <w:proofErr w:type="gramStart"/>
      <w:r w:rsidRPr="00300247">
        <w:rPr>
          <w:rFonts w:ascii="Times New Roman" w:hAnsi="Times New Roman"/>
          <w:sz w:val="24"/>
          <w:szCs w:val="24"/>
        </w:rPr>
        <w:t>в</w:t>
      </w:r>
      <w:proofErr w:type="gramEnd"/>
      <w:r w:rsidRPr="00300247">
        <w:rPr>
          <w:rFonts w:ascii="Times New Roman" w:hAnsi="Times New Roman"/>
          <w:sz w:val="24"/>
          <w:szCs w:val="24"/>
        </w:rPr>
        <w:t xml:space="preserve"> </w:t>
      </w:r>
    </w:p>
    <w:p w:rsid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300247">
        <w:rPr>
          <w:rFonts w:ascii="Times New Roman" w:hAnsi="Times New Roman"/>
          <w:sz w:val="24"/>
          <w:szCs w:val="24"/>
        </w:rPr>
        <w:t xml:space="preserve">отношении автомобильных дорог местного значения </w:t>
      </w:r>
      <w:proofErr w:type="gramStart"/>
      <w:r w:rsidRPr="00300247">
        <w:rPr>
          <w:rFonts w:ascii="Times New Roman" w:hAnsi="Times New Roman"/>
          <w:sz w:val="24"/>
          <w:szCs w:val="24"/>
        </w:rPr>
        <w:t>в</w:t>
      </w:r>
      <w:proofErr w:type="gramEnd"/>
      <w:r w:rsidRPr="00300247">
        <w:rPr>
          <w:rFonts w:ascii="Times New Roman" w:hAnsi="Times New Roman"/>
          <w:sz w:val="24"/>
          <w:szCs w:val="24"/>
        </w:rPr>
        <w:t xml:space="preserve"> </w:t>
      </w:r>
    </w:p>
    <w:p w:rsid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300247">
        <w:rPr>
          <w:rFonts w:ascii="Times New Roman" w:hAnsi="Times New Roman"/>
          <w:sz w:val="24"/>
          <w:szCs w:val="24"/>
        </w:rPr>
        <w:t>границах</w:t>
      </w:r>
      <w:proofErr w:type="gramEnd"/>
      <w:r w:rsidRPr="00300247">
        <w:rPr>
          <w:rFonts w:ascii="Times New Roman" w:hAnsi="Times New Roman"/>
          <w:sz w:val="24"/>
          <w:szCs w:val="24"/>
        </w:rPr>
        <w:t xml:space="preserve"> населенных пунктов поселения и земельных </w:t>
      </w:r>
    </w:p>
    <w:p w:rsidR="00CB3D8B" w:rsidRP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  <w:sz w:val="24"/>
          <w:szCs w:val="24"/>
        </w:rPr>
      </w:pPr>
      <w:r w:rsidRPr="00300247">
        <w:rPr>
          <w:rFonts w:ascii="Times New Roman" w:hAnsi="Times New Roman"/>
          <w:sz w:val="24"/>
          <w:szCs w:val="24"/>
        </w:rPr>
        <w:t>участков под ними</w:t>
      </w:r>
    </w:p>
    <w:p w:rsidR="00CB3D8B" w:rsidRPr="009D3F3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16"/>
          <w:szCs w:val="16"/>
        </w:rPr>
      </w:pPr>
    </w:p>
    <w:p w:rsidR="00313C9C" w:rsidRPr="00300247" w:rsidRDefault="00F526B5" w:rsidP="003002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ниципального района по</w:t>
      </w:r>
      <w:r w:rsidR="00056513" w:rsidRPr="000565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0247" w:rsidRPr="00300247">
        <w:rPr>
          <w:rFonts w:ascii="Times New Roman" w:hAnsi="Times New Roman"/>
          <w:b/>
          <w:sz w:val="28"/>
          <w:szCs w:val="28"/>
        </w:rPr>
        <w:t>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r w:rsidR="00300247" w:rsidRPr="00300247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ставка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специалиста на обслуживание переданного полномочия ( 0,1 став</w:t>
      </w:r>
      <w:r w:rsidR="007609E5">
        <w:rPr>
          <w:rFonts w:ascii="Times New Roman" w:hAnsi="Times New Roman"/>
          <w:sz w:val="28"/>
          <w:szCs w:val="28"/>
          <w:lang w:eastAsia="ru-RU"/>
        </w:rPr>
        <w:t>ки 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004"/>
    <w:rsid w:val="000377F1"/>
    <w:rsid w:val="00037BE4"/>
    <w:rsid w:val="0005480A"/>
    <w:rsid w:val="00055BDE"/>
    <w:rsid w:val="00056251"/>
    <w:rsid w:val="00056513"/>
    <w:rsid w:val="0006290F"/>
    <w:rsid w:val="0006414E"/>
    <w:rsid w:val="00064E20"/>
    <w:rsid w:val="000734D4"/>
    <w:rsid w:val="0007540C"/>
    <w:rsid w:val="000848A2"/>
    <w:rsid w:val="0009186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510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7091F"/>
    <w:rsid w:val="00283CD6"/>
    <w:rsid w:val="00291E05"/>
    <w:rsid w:val="00297F44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0247"/>
    <w:rsid w:val="00305D75"/>
    <w:rsid w:val="0031105E"/>
    <w:rsid w:val="00313C9C"/>
    <w:rsid w:val="00317721"/>
    <w:rsid w:val="00317BFA"/>
    <w:rsid w:val="00333BAD"/>
    <w:rsid w:val="00334FC6"/>
    <w:rsid w:val="00337A60"/>
    <w:rsid w:val="00353040"/>
    <w:rsid w:val="00362660"/>
    <w:rsid w:val="00364288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24A81"/>
    <w:rsid w:val="00432968"/>
    <w:rsid w:val="00442DFE"/>
    <w:rsid w:val="00445FCA"/>
    <w:rsid w:val="0045737B"/>
    <w:rsid w:val="00463DB7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B6F22"/>
    <w:rsid w:val="004C19C9"/>
    <w:rsid w:val="004C30C4"/>
    <w:rsid w:val="004C3184"/>
    <w:rsid w:val="004C5C83"/>
    <w:rsid w:val="004D1071"/>
    <w:rsid w:val="004D20CF"/>
    <w:rsid w:val="004D6E32"/>
    <w:rsid w:val="004E43E4"/>
    <w:rsid w:val="004F16D6"/>
    <w:rsid w:val="004F721A"/>
    <w:rsid w:val="00501545"/>
    <w:rsid w:val="00503185"/>
    <w:rsid w:val="0050391E"/>
    <w:rsid w:val="0051115A"/>
    <w:rsid w:val="0051152D"/>
    <w:rsid w:val="00512738"/>
    <w:rsid w:val="00512DD6"/>
    <w:rsid w:val="00516C9E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345C"/>
    <w:rsid w:val="006350C2"/>
    <w:rsid w:val="00636C8E"/>
    <w:rsid w:val="00647536"/>
    <w:rsid w:val="00672A5E"/>
    <w:rsid w:val="0067678E"/>
    <w:rsid w:val="00676A23"/>
    <w:rsid w:val="0068240F"/>
    <w:rsid w:val="0069119C"/>
    <w:rsid w:val="0069271D"/>
    <w:rsid w:val="00694875"/>
    <w:rsid w:val="006A17AE"/>
    <w:rsid w:val="006C2C21"/>
    <w:rsid w:val="006D70F1"/>
    <w:rsid w:val="006E0F7B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50B15"/>
    <w:rsid w:val="007609E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57243"/>
    <w:rsid w:val="00861B56"/>
    <w:rsid w:val="008778C1"/>
    <w:rsid w:val="00880396"/>
    <w:rsid w:val="00880B14"/>
    <w:rsid w:val="00881496"/>
    <w:rsid w:val="008A7886"/>
    <w:rsid w:val="008B6CCD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40499"/>
    <w:rsid w:val="0094235D"/>
    <w:rsid w:val="009509C7"/>
    <w:rsid w:val="00954AAE"/>
    <w:rsid w:val="00956EDC"/>
    <w:rsid w:val="0097042D"/>
    <w:rsid w:val="00977800"/>
    <w:rsid w:val="009859A9"/>
    <w:rsid w:val="00995EDC"/>
    <w:rsid w:val="009A0A66"/>
    <w:rsid w:val="009A3367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369D8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1F19"/>
    <w:rsid w:val="00AB2DA7"/>
    <w:rsid w:val="00AB72F6"/>
    <w:rsid w:val="00AC4161"/>
    <w:rsid w:val="00AC75EE"/>
    <w:rsid w:val="00AD0C87"/>
    <w:rsid w:val="00AD12DD"/>
    <w:rsid w:val="00AD5C11"/>
    <w:rsid w:val="00AE0C9B"/>
    <w:rsid w:val="00AF0EB5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3002"/>
    <w:rsid w:val="00CD36C7"/>
    <w:rsid w:val="00CD4AD2"/>
    <w:rsid w:val="00CE2270"/>
    <w:rsid w:val="00CF3E56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0202"/>
    <w:rsid w:val="00DC5C13"/>
    <w:rsid w:val="00DD3127"/>
    <w:rsid w:val="00DD7091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C0F88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41</cp:revision>
  <cp:lastPrinted>2021-03-03T12:15:00Z</cp:lastPrinted>
  <dcterms:created xsi:type="dcterms:W3CDTF">2015-07-20T13:53:00Z</dcterms:created>
  <dcterms:modified xsi:type="dcterms:W3CDTF">2024-02-08T06:15:00Z</dcterms:modified>
</cp:coreProperties>
</file>